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17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568"/>
        <w:gridCol w:w="850"/>
        <w:gridCol w:w="3261"/>
        <w:gridCol w:w="708"/>
        <w:gridCol w:w="2694"/>
        <w:gridCol w:w="2136"/>
      </w:tblGrid>
      <w:tr w:rsidR="005123E7" w:rsidRPr="00E24161" w14:paraId="16ACC09F" w14:textId="77777777" w:rsidTr="00F47E40">
        <w:trPr>
          <w:trHeight w:val="283"/>
        </w:trPr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83A51A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Hlk158793324"/>
            <w:bookmarkEnd w:id="0"/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Cel Szczegółowy</w:t>
            </w:r>
          </w:p>
        </w:tc>
        <w:tc>
          <w:tcPr>
            <w:tcW w:w="5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19563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Przedsięwzięcie</w:t>
            </w:r>
          </w:p>
        </w:tc>
      </w:tr>
      <w:tr w:rsidR="005123E7" w:rsidRPr="00E24161" w14:paraId="56B561AF" w14:textId="77777777" w:rsidTr="00F47E40">
        <w:trPr>
          <w:trHeight w:val="359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665C70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i/>
                <w:sz w:val="20"/>
                <w:szCs w:val="20"/>
                <w:lang w:val="pl-PL" w:eastAsia="pl-PL"/>
              </w:rPr>
              <w:t>Cel 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53C3B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Poprawa jakości życia lokalnej społeczności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1493E7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i/>
                <w:sz w:val="20"/>
                <w:szCs w:val="20"/>
                <w:lang w:val="pl-PL" w:eastAsia="pl-PL"/>
              </w:rPr>
              <w:t>P.1.2.</w:t>
            </w: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AD11E" w14:textId="77777777" w:rsidR="005123E7" w:rsidRPr="00E24161" w:rsidRDefault="005123E7" w:rsidP="00F47E40">
            <w:pPr>
              <w:spacing w:after="0" w:line="240" w:lineRule="auto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Integracja społeczności i włączenie społeczne osób w niekorzystnej sytuacji  </w:t>
            </w:r>
          </w:p>
        </w:tc>
      </w:tr>
      <w:tr w:rsidR="005123E7" w:rsidRPr="00E24161" w14:paraId="2440207D" w14:textId="77777777" w:rsidTr="00F47E40">
        <w:trPr>
          <w:trHeight w:val="265"/>
        </w:trPr>
        <w:tc>
          <w:tcPr>
            <w:tcW w:w="10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16519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KARTA INDYWIDUALNEJ OCENY PUNKTOWEJ</w:t>
            </w:r>
          </w:p>
        </w:tc>
      </w:tr>
      <w:tr w:rsidR="005123E7" w:rsidRPr="00E24161" w14:paraId="68AB2D3A" w14:textId="77777777" w:rsidTr="00F47E40">
        <w:trPr>
          <w:trHeight w:val="3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B1BEC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B15A2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Kryteria dla przedsięwzięć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9CD15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Liczba punktów</w:t>
            </w: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pl-PL" w:eastAsia="pl-PL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D6151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Definicja / wyjaśnienie</w:t>
            </w:r>
          </w:p>
        </w:tc>
      </w:tr>
      <w:tr w:rsidR="005123E7" w:rsidRPr="00E24161" w14:paraId="6CD92D28" w14:textId="77777777" w:rsidTr="00F47E40">
        <w:trPr>
          <w:trHeight w:val="4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F2EAE2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9874A" w14:textId="77777777" w:rsidR="005123E7" w:rsidRPr="00E24161" w:rsidRDefault="005123E7" w:rsidP="00F47E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Udział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procentowy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wnioskowanej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kwoty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wsparcia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wielkości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kwoty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grantu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przewidzianej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realizację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projektu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grantowego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dla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zadania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którego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realizację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ubiega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wynosi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więcej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niż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95%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kwoty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grantu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7FBA6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0 pkt -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BDDA02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2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615C3D" w14:textId="77777777" w:rsidR="005123E7" w:rsidRPr="00E24161" w:rsidRDefault="005123E7" w:rsidP="00F47E40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  <w:p w14:paraId="511C5E03" w14:textId="77777777" w:rsidR="005123E7" w:rsidRPr="00E24161" w:rsidRDefault="005123E7" w:rsidP="00F47E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685D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powierzenie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załączonych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dokumentach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63985F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123E7" w:rsidRPr="00E24161" w14:paraId="326E12BE" w14:textId="77777777" w:rsidTr="00F47E40">
        <w:trPr>
          <w:trHeight w:val="14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63DA8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2.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98460D" w14:textId="77777777" w:rsidR="005123E7" w:rsidRPr="00E24161" w:rsidRDefault="005123E7" w:rsidP="00F47E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planuje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realizować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zadanie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grantowe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partnerstwie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innym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podmiotem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podmiotami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42967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0 pkt -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75359A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2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961EFA" w14:textId="77777777" w:rsidR="005123E7" w:rsidRPr="00E24161" w:rsidRDefault="005123E7" w:rsidP="00F47E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F21FA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powierzenie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załączonych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dokumentach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załączonej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pisemnej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deklaracji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partnera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realizacji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grantowego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3766C2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123E7" w:rsidRPr="00E24161" w14:paraId="4873FC82" w14:textId="77777777" w:rsidTr="00F47E40">
        <w:trPr>
          <w:trHeight w:val="7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1DCF0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5BBD3" w14:textId="77777777" w:rsidR="005123E7" w:rsidRPr="00E24161" w:rsidRDefault="005123E7" w:rsidP="00F47E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Ze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złożonego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załączonych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dokumentów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wynika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co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połowę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kosztów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kwalifikowalnych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grantowego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poniesionych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działania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miejscowości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liczącej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2 000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mieszkańców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3894A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0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468420" w14:textId="77777777" w:rsidR="005123E7" w:rsidRPr="00E24161" w:rsidRDefault="005123E7" w:rsidP="00F47E40">
            <w:pPr>
              <w:spacing w:after="0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2 pkt -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7617E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powierzenie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załączonych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dokumentach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a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uzyskanych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urzędów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gmin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liczby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mieszkańców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miejscowościach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31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grudnia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poprzedzającego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ogłoszono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konkurs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grantobiorców</w:t>
            </w:r>
            <w:proofErr w:type="spellEnd"/>
          </w:p>
        </w:tc>
      </w:tr>
      <w:tr w:rsidR="005123E7" w:rsidRPr="00E24161" w14:paraId="3EEDE79C" w14:textId="77777777" w:rsidTr="00F47E40">
        <w:trPr>
          <w:trHeight w:val="8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AE9FC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F2B75" w14:textId="77777777" w:rsidR="005123E7" w:rsidRPr="00E24161" w:rsidRDefault="005123E7" w:rsidP="00F47E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jest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członkiem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 od co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30936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0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</w:p>
          <w:p w14:paraId="62D5310F" w14:textId="77777777" w:rsidR="005123E7" w:rsidRPr="00E24161" w:rsidRDefault="005123E7" w:rsidP="00F47E40">
            <w:pPr>
              <w:spacing w:after="0" w:line="240" w:lineRule="auto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1 pkt -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017D" w14:textId="77777777" w:rsidR="005123E7" w:rsidRPr="00E24161" w:rsidRDefault="005123E7" w:rsidP="00F47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powierzenie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załączonych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dokumentach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własnych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LGD.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zostaną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przyznane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złożenia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jest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członkiem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nieprzerwanie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co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12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przyznaje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kiedykolwiek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wykreślony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listy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członków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pozbawienia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praw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publicznych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prawomocnym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wyrokiem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sądu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względu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działalność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niezgodną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statutem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uchwałą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władz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LGD.</w:t>
            </w:r>
          </w:p>
        </w:tc>
      </w:tr>
      <w:tr w:rsidR="005123E7" w:rsidRPr="00E24161" w14:paraId="2E84E194" w14:textId="77777777" w:rsidTr="00F47E40">
        <w:trPr>
          <w:trHeight w:val="4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DB2549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lastRenderedPageBreak/>
              <w:t>5.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244A6" w14:textId="77777777" w:rsidR="005123E7" w:rsidRPr="00E24161" w:rsidRDefault="005123E7" w:rsidP="00F47E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złożył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LGD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organizującej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nabór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fiszkę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projektową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arkusz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pomysłu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realizację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cel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zakres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rzeczowy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jest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zbieżny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zadaniem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grantowym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realizację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złożył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powierzenie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przedmiotowego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naboru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07A0F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0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D75E8C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2 pkt -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531D8B" w14:textId="77777777" w:rsidR="005123E7" w:rsidRPr="00E24161" w:rsidRDefault="005123E7" w:rsidP="00F47E4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11A90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przyznania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jest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złożenie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LGD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fiszki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projektowej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arkusza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pomysłu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Dokument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taki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złożony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złożeniem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przyznanie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pomocy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grantowy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samorządzie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województwa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. Projekt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wynikający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fiszki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arkusza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pomysłu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mieć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cel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zakres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rzeczowy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zbieżny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zadaniem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grantowym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realizację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złożył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powierzenie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grantu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przedmiotowego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naboru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. LGD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wymagać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złożenia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kopii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fiszki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arkusza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pomysłu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złożonego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LGD,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spełnienia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warunku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23E7" w:rsidRPr="00E24161" w14:paraId="4230B31C" w14:textId="77777777" w:rsidTr="00F47E40">
        <w:trPr>
          <w:trHeight w:val="4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EA762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t>6.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8326B" w14:textId="77777777" w:rsidR="005123E7" w:rsidRPr="00E24161" w:rsidRDefault="005123E7" w:rsidP="00F47E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posiada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doświadczenie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realizacji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finansowanych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zewnętrznych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przyznane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umowy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zawartej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niezależnym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podmiotem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30836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0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zrealizował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żadnego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zewnętrznych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realizację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mu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wypłacone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zawartej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umowy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umów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4EFB8C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1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zrealizował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zewnętrznych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środki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mu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wypłacone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zawartej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umowy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24151456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2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zrealizował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zewnętrznych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mu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wypłacone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umów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7B9DEFD" w14:textId="77777777" w:rsidR="005123E7" w:rsidRPr="00E24161" w:rsidRDefault="005123E7" w:rsidP="00F47E40">
            <w:pPr>
              <w:spacing w:after="0" w:line="240" w:lineRule="auto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3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zrealizował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zewnętrznych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mu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wypłacone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umów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C6F26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Aby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potwierdzić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realizację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zewnętrznych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załączyć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kopię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umowy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niezależnym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podmiotem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udzielającym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mu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dofinansowania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realizację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czyli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określonego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umowie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konkretnego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zestawu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odrębną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zamkniętą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całość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prowadzących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wskazanego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umowie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rezultatu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powinien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udokumentować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zrealizował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  <w:proofErr w:type="spellEnd"/>
            <w:proofErr w:type="gram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zostało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wypłacone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mu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przewidziane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umowie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dofinansowanie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.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powołuje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fakt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realizacji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dofinansowanego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LSR,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realizowanej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organizującą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nabór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do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przyznania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jest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załączenie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ww.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dokumentów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dysponuje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danymi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potwierdzającymi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fakt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realizacji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23E7" w:rsidRPr="00E24161" w14:paraId="17662683" w14:textId="77777777" w:rsidTr="00F47E40">
        <w:trPr>
          <w:trHeight w:val="4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541CC0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lastRenderedPageBreak/>
              <w:t>7.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FDAF2" w14:textId="77777777" w:rsidR="005123E7" w:rsidRPr="00E24161" w:rsidRDefault="005123E7" w:rsidP="00F47E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złożenia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posiada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siedzibę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osób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prawnych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jednostek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organizacyjnych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nieposiadających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osobowości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prawnej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ustawa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przyznaje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zdolność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prawną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gmina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powiat)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miejsce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zameldowania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osób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fizycznych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obszarze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objętym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LSR od co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24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jest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gminą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powiatem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obszarze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objętym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LSR.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F7705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0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7E5AD17" w14:textId="77777777" w:rsidR="005123E7" w:rsidRPr="00E24161" w:rsidRDefault="005123E7" w:rsidP="00F47E40">
            <w:pPr>
              <w:spacing w:after="0" w:line="240" w:lineRule="auto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2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E46FC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znajdujących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we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właściwych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ogólnodostępnych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rejestrach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(w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osób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prawnych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jednostek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organizacyjnych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niebędących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gminą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powiatem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zaświadczenia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właściwej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ewidencji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ludności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miejscu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zameldowania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pobyt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stały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czasowy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wydanego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organ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gminy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złożeniem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(w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osób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fizycznych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).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gminy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powiatu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przyznaje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obszar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objęty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LSR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obszar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danej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gminy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co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cześć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obszaru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danego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powiatu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23E7" w:rsidRPr="00E24161" w14:paraId="00378FBD" w14:textId="77777777" w:rsidTr="00F47E40">
        <w:trPr>
          <w:trHeight w:val="4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037E5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  <w:lastRenderedPageBreak/>
              <w:t>8.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CD30E5" w14:textId="77777777" w:rsidR="005123E7" w:rsidRPr="00E24161" w:rsidRDefault="005123E7" w:rsidP="00F47E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korzystał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doradztwa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prowadzonego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pracowników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wziął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szkoleniu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dotyczącym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danego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naboru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organizowanym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99FD4" w14:textId="77777777" w:rsidR="005123E7" w:rsidRPr="00E24161" w:rsidRDefault="005123E7" w:rsidP="00F47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0 pkt -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1D54B4E" w14:textId="77777777" w:rsidR="005123E7" w:rsidRPr="00E24161" w:rsidRDefault="005123E7" w:rsidP="00F47E40">
            <w:pPr>
              <w:spacing w:after="0" w:line="240" w:lineRule="auto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2 pkt –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6A728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dokumentów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znajdujących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posiadaniu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 (np.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lista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szkoleniu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rejestr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doradztwa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Wnioskodawca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ubiegający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uzyskanie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żądać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LGD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pisemnego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potwierdzenia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skorzystania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doradztwa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szkoleniu</w:t>
            </w:r>
            <w:proofErr w:type="spellEnd"/>
            <w:r w:rsidRPr="00E24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23E7" w:rsidRPr="00E24161" w14:paraId="6EB47F62" w14:textId="77777777" w:rsidTr="00F47E40">
        <w:trPr>
          <w:trHeight w:val="572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1EFD8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SUMA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B156C" w14:textId="77777777" w:rsidR="005123E7" w:rsidRPr="00E24161" w:rsidRDefault="005123E7" w:rsidP="00F47E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1C44D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  <w:t>X</w:t>
            </w:r>
          </w:p>
        </w:tc>
      </w:tr>
      <w:tr w:rsidR="005123E7" w:rsidRPr="00E24161" w14:paraId="7C830BA1" w14:textId="77777777" w:rsidTr="00F47E40">
        <w:trPr>
          <w:trHeight w:val="694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87C266" w14:textId="77777777" w:rsidR="005123E7" w:rsidRPr="00E24161" w:rsidRDefault="005123E7" w:rsidP="00F47E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bookmarkStart w:id="1" w:name="_Hlk160614618"/>
            <w:bookmarkEnd w:id="1"/>
          </w:p>
          <w:p w14:paraId="7C3976D4" w14:textId="77777777" w:rsidR="005123E7" w:rsidRPr="00E24161" w:rsidRDefault="005123E7" w:rsidP="00F47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</w:p>
          <w:p w14:paraId="43909090" w14:textId="77777777" w:rsidR="005123E7" w:rsidRPr="00E24161" w:rsidRDefault="005123E7" w:rsidP="00F47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</w:p>
          <w:p w14:paraId="1C06AD5F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pl-PL" w:eastAsia="pl-PL"/>
              </w:rPr>
              <w:t>Imię i Nazwisko Oceniającego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35CCCF" w14:textId="77777777" w:rsidR="005123E7" w:rsidRPr="00E24161" w:rsidRDefault="005123E7" w:rsidP="00F47E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</w:p>
          <w:p w14:paraId="75FEFCFC" w14:textId="77777777" w:rsidR="005123E7" w:rsidRPr="00E24161" w:rsidRDefault="005123E7" w:rsidP="00F47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</w:p>
          <w:p w14:paraId="523C3CF1" w14:textId="77777777" w:rsidR="005123E7" w:rsidRPr="00E24161" w:rsidRDefault="005123E7" w:rsidP="00F47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</w:p>
          <w:p w14:paraId="6BFACAE1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pl-PL" w:eastAsia="pl-PL"/>
              </w:rPr>
              <w:t>Data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61812" w14:textId="77777777" w:rsidR="005123E7" w:rsidRPr="00E24161" w:rsidRDefault="005123E7" w:rsidP="00F47E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</w:p>
          <w:p w14:paraId="0F16279C" w14:textId="77777777" w:rsidR="005123E7" w:rsidRPr="00E24161" w:rsidRDefault="005123E7" w:rsidP="00F47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</w:p>
          <w:p w14:paraId="5FFA4092" w14:textId="77777777" w:rsidR="005123E7" w:rsidRPr="00E24161" w:rsidRDefault="005123E7" w:rsidP="00F47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 w:eastAsia="pl-PL"/>
              </w:rPr>
            </w:pPr>
          </w:p>
          <w:p w14:paraId="1E8C0406" w14:textId="77777777" w:rsidR="005123E7" w:rsidRPr="00E24161" w:rsidRDefault="005123E7" w:rsidP="00F47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16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pl-PL" w:eastAsia="pl-PL"/>
              </w:rPr>
              <w:t>Podpis</w:t>
            </w:r>
          </w:p>
        </w:tc>
      </w:tr>
    </w:tbl>
    <w:p w14:paraId="2895498F" w14:textId="77777777" w:rsidR="005123E7" w:rsidRPr="005123E7" w:rsidRDefault="005123E7" w:rsidP="005123E7">
      <w:pPr>
        <w:spacing w:after="0"/>
      </w:pPr>
      <w:r w:rsidRPr="005123E7">
        <w:rPr>
          <w:rFonts w:ascii="Times New Roman" w:hAnsi="Times New Roman" w:cs="Times New Roman"/>
          <w:b/>
          <w:sz w:val="20"/>
          <w:szCs w:val="20"/>
          <w:lang w:val="pl-PL"/>
        </w:rPr>
        <w:t>Minimalna liczba punktów, których uzyskanie jest warunkiem wyboru zadania: 50% = 8 pkt</w:t>
      </w:r>
    </w:p>
    <w:p w14:paraId="0233C287" w14:textId="77777777" w:rsidR="005123E7" w:rsidRPr="005123E7" w:rsidRDefault="005123E7" w:rsidP="005123E7">
      <w:pPr>
        <w:spacing w:after="0"/>
      </w:pPr>
      <w:r w:rsidRPr="005123E7">
        <w:rPr>
          <w:rFonts w:ascii="Times New Roman" w:hAnsi="Times New Roman" w:cs="Times New Roman"/>
          <w:b/>
          <w:sz w:val="20"/>
          <w:szCs w:val="20"/>
          <w:lang w:val="pl-PL"/>
        </w:rPr>
        <w:t xml:space="preserve">Maksymalna liczba punktów: 16 pkt </w:t>
      </w:r>
    </w:p>
    <w:p w14:paraId="235C5385" w14:textId="77777777" w:rsidR="002D7350" w:rsidRDefault="002D7350"/>
    <w:sectPr w:rsidR="002D7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E7"/>
    <w:rsid w:val="002D7350"/>
    <w:rsid w:val="00406D92"/>
    <w:rsid w:val="005123E7"/>
    <w:rsid w:val="00571AB9"/>
    <w:rsid w:val="00C9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4406F"/>
  <w15:chartTrackingRefBased/>
  <w15:docId w15:val="{9D4B7CBA-E01C-49DE-B14A-DD804379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E7"/>
    <w:pPr>
      <w:suppressAutoHyphens/>
      <w:spacing w:after="200" w:line="276" w:lineRule="auto"/>
    </w:pPr>
    <w:rPr>
      <w:rFonts w:ascii="Calibri" w:eastAsia="Times New Roman" w:hAnsi="Calibri" w:cs="Calibri"/>
      <w:kern w:val="0"/>
      <w:sz w:val="22"/>
      <w:szCs w:val="22"/>
      <w:lang w:val="en-US" w:eastAsia="zh-CN" w:bidi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3E7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3E7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3E7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l-PL"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3E7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pl-PL"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23E7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pl-PL"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23E7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pl-PL"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23E7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pl-PL"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23E7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pl-PL"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23E7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pl-PL"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3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3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3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3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23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23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23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23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23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23E7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23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3E7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23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23E7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pl-PL"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23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3E7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pl-PL"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23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23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pl-PL"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23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3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5397</Characters>
  <Application>Microsoft Office Word</Application>
  <DocSecurity>0</DocSecurity>
  <Lines>44</Lines>
  <Paragraphs>12</Paragraphs>
  <ScaleCrop>false</ScaleCrop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Lokalna Grupa</dc:creator>
  <cp:keywords/>
  <dc:description/>
  <cp:lastModifiedBy>Lokalna Grupa</cp:lastModifiedBy>
  <cp:revision>1</cp:revision>
  <dcterms:created xsi:type="dcterms:W3CDTF">2026-01-14T13:47:00Z</dcterms:created>
  <dcterms:modified xsi:type="dcterms:W3CDTF">2026-01-14T13:48:00Z</dcterms:modified>
</cp:coreProperties>
</file>